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DEE4E" w14:textId="77777777" w:rsidR="00C0448D" w:rsidRPr="004150AE" w:rsidRDefault="00A715CA">
      <w:pPr>
        <w:ind w:left="4231"/>
        <w:rPr>
          <w:rFonts w:ascii="Times New Roman"/>
          <w:sz w:val="20"/>
        </w:rPr>
      </w:pPr>
      <w:r w:rsidRPr="004150AE">
        <w:rPr>
          <w:rFonts w:ascii="Times New Roman"/>
          <w:noProof/>
          <w:sz w:val="20"/>
        </w:rPr>
        <w:drawing>
          <wp:anchor distT="0" distB="0" distL="114300" distR="114300" simplePos="0" relativeHeight="251658240" behindDoc="0" locked="0" layoutInCell="1" allowOverlap="1" wp14:anchorId="13FDEEBA" wp14:editId="75253D48">
            <wp:simplePos x="0" y="0"/>
            <wp:positionH relativeFrom="column">
              <wp:posOffset>3987369</wp:posOffset>
            </wp:positionH>
            <wp:positionV relativeFrom="page">
              <wp:posOffset>810464</wp:posOffset>
            </wp:positionV>
            <wp:extent cx="1645285" cy="457200"/>
            <wp:effectExtent l="0" t="0" r="0" b="0"/>
            <wp:wrapSquare wrapText="bothSides"/>
            <wp:docPr id="1" name="Image 1" descr="Et bilde som inneholder tekst  Automatisk generert beskrivels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Et bilde som inneholder tekst  Automatisk generert beskrivels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45285" cy="457200"/>
                    </a:xfrm>
                    <a:prstGeom prst="rect">
                      <a:avLst/>
                    </a:prstGeom>
                  </pic:spPr>
                </pic:pic>
              </a:graphicData>
            </a:graphic>
          </wp:anchor>
        </w:drawing>
      </w:r>
    </w:p>
    <w:p w14:paraId="78463C11" w14:textId="77777777" w:rsidR="0063399B" w:rsidRPr="004150AE" w:rsidRDefault="0063399B" w:rsidP="0063399B">
      <w:pPr>
        <w:pStyle w:val="Overskrift2"/>
        <w:spacing w:before="240" w:line="320" w:lineRule="exact"/>
        <w:rPr>
          <w:color w:val="365F91"/>
          <w:sz w:val="36"/>
          <w:szCs w:val="36"/>
        </w:rPr>
      </w:pPr>
    </w:p>
    <w:p w14:paraId="1C9EAAB1" w14:textId="77777777" w:rsidR="003A69CB" w:rsidRDefault="003A69CB" w:rsidP="00A2728D">
      <w:pPr>
        <w:pStyle w:val="Overskrift3"/>
        <w:ind w:left="0" w:firstLine="0"/>
        <w:rPr>
          <w:b/>
          <w:bCs/>
          <w:color w:val="365F91"/>
          <w:sz w:val="36"/>
          <w:szCs w:val="36"/>
        </w:rPr>
      </w:pPr>
      <w:r w:rsidRPr="003A69CB">
        <w:rPr>
          <w:b/>
          <w:bCs/>
          <w:color w:val="365F91"/>
          <w:sz w:val="36"/>
          <w:szCs w:val="36"/>
        </w:rPr>
        <w:t>Guidance on the final seminar in the PhD program Health, Function, and Participation</w:t>
      </w:r>
    </w:p>
    <w:p w14:paraId="7EDB4132" w14:textId="20E56D4B" w:rsidR="00AA4CFD" w:rsidRPr="004150AE" w:rsidRDefault="0071180B" w:rsidP="00A2728D">
      <w:pPr>
        <w:pStyle w:val="Overskrift3"/>
        <w:ind w:left="0" w:firstLine="0"/>
        <w:rPr>
          <w:i/>
          <w:iCs/>
          <w:sz w:val="22"/>
          <w:szCs w:val="22"/>
        </w:rPr>
      </w:pPr>
      <w:r w:rsidRPr="004150AE">
        <w:rPr>
          <w:i/>
          <w:iCs/>
          <w:sz w:val="22"/>
          <w:szCs w:val="22"/>
        </w:rPr>
        <w:t xml:space="preserve">Adopted by the Programme Committee for the PhD Programme Health, Function and </w:t>
      </w:r>
      <w:r w:rsidR="00A2728D" w:rsidRPr="004150AE">
        <w:rPr>
          <w:i/>
          <w:iCs/>
          <w:sz w:val="22"/>
          <w:szCs w:val="22"/>
        </w:rPr>
        <w:t>P</w:t>
      </w:r>
      <w:r w:rsidRPr="004150AE">
        <w:rPr>
          <w:i/>
          <w:iCs/>
          <w:sz w:val="22"/>
          <w:szCs w:val="22"/>
        </w:rPr>
        <w:t>articipation on 24 March 2026</w:t>
      </w:r>
    </w:p>
    <w:p w14:paraId="3B78E8CD" w14:textId="77777777" w:rsidR="0071180B" w:rsidRPr="004150AE" w:rsidRDefault="0071180B" w:rsidP="00AA4CFD">
      <w:pPr>
        <w:pStyle w:val="Overskrift3"/>
        <w:rPr>
          <w:sz w:val="22"/>
          <w:szCs w:val="22"/>
        </w:rPr>
      </w:pPr>
    </w:p>
    <w:p w14:paraId="13FDEE59" w14:textId="39640A8D" w:rsidR="00C0448D" w:rsidRPr="004150AE" w:rsidRDefault="00A2728D" w:rsidP="0063399B">
      <w:pPr>
        <w:pStyle w:val="Overskrift2"/>
        <w:ind w:left="1"/>
        <w:rPr>
          <w:color w:val="365F91"/>
        </w:rPr>
      </w:pPr>
      <w:r w:rsidRPr="004150AE">
        <w:rPr>
          <w:color w:val="365F91"/>
        </w:rPr>
        <w:t>About the</w:t>
      </w:r>
      <w:r w:rsidR="004852C5" w:rsidRPr="004150AE">
        <w:rPr>
          <w:color w:val="365F91"/>
        </w:rPr>
        <w:t>se</w:t>
      </w:r>
      <w:r w:rsidRPr="004150AE">
        <w:rPr>
          <w:color w:val="365F91"/>
        </w:rPr>
        <w:t xml:space="preserve"> guidelines and the final seminar</w:t>
      </w:r>
    </w:p>
    <w:p w14:paraId="47F94E1C" w14:textId="77777777" w:rsidR="00E93108" w:rsidRPr="004150AE" w:rsidRDefault="00E93108">
      <w:pPr>
        <w:ind w:right="221"/>
      </w:pPr>
    </w:p>
    <w:p w14:paraId="13FDEE5A" w14:textId="60C92C2A" w:rsidR="00C0448D" w:rsidRPr="004150AE" w:rsidRDefault="00310D8C">
      <w:pPr>
        <w:ind w:right="221"/>
      </w:pPr>
      <w:r w:rsidRPr="004150AE">
        <w:t>This document is based on the</w:t>
      </w:r>
      <w:r w:rsidR="00A715CA" w:rsidRPr="004150AE">
        <w:rPr>
          <w:spacing w:val="-1"/>
        </w:rPr>
        <w:t xml:space="preserve"> </w:t>
      </w:r>
      <w:hyperlink r:id="rId8" w:history="1">
        <w:r w:rsidR="00616E49" w:rsidRPr="001B4490">
          <w:rPr>
            <w:rStyle w:val="Hyperkobling"/>
            <w:i/>
          </w:rPr>
          <w:t>Guidelines for the assessment of doctoral degrees at Western Norway University of Applied Sciences</w:t>
        </w:r>
        <w:r w:rsidR="00A715CA" w:rsidRPr="004150AE">
          <w:rPr>
            <w:rStyle w:val="Hyperkobling"/>
          </w:rPr>
          <w:t>,</w:t>
        </w:r>
      </w:hyperlink>
      <w:r w:rsidR="00A715CA" w:rsidRPr="004150AE">
        <w:t xml:space="preserve"> </w:t>
      </w:r>
      <w:r w:rsidR="00616E49" w:rsidRPr="004150AE">
        <w:t>adopted by the Central PhD committee on</w:t>
      </w:r>
      <w:r w:rsidR="00A715CA" w:rsidRPr="004150AE">
        <w:t xml:space="preserve"> 16</w:t>
      </w:r>
      <w:r w:rsidR="00DD4D89" w:rsidRPr="004150AE">
        <w:t xml:space="preserve"> November </w:t>
      </w:r>
      <w:r w:rsidR="00A715CA" w:rsidRPr="004150AE">
        <w:t xml:space="preserve">2022 </w:t>
      </w:r>
      <w:r w:rsidR="009023C9" w:rsidRPr="004150AE">
        <w:t xml:space="preserve">based on a recommendation from </w:t>
      </w:r>
      <w:r w:rsidR="00737CE0" w:rsidRPr="004150AE">
        <w:t>Universities Norway</w:t>
      </w:r>
      <w:r w:rsidR="00A715CA" w:rsidRPr="004150AE">
        <w:t xml:space="preserve"> (UHR) 13</w:t>
      </w:r>
      <w:r w:rsidR="00DD4D89" w:rsidRPr="004150AE">
        <w:t xml:space="preserve"> May </w:t>
      </w:r>
      <w:r w:rsidR="00A715CA" w:rsidRPr="004150AE">
        <w:t>2022.</w:t>
      </w:r>
    </w:p>
    <w:p w14:paraId="13FDEE5D" w14:textId="3189A2B2" w:rsidR="00C0448D" w:rsidRPr="004150AE" w:rsidRDefault="0098684F">
      <w:pPr>
        <w:spacing w:before="255"/>
      </w:pPr>
      <w:r w:rsidRPr="004150AE">
        <w:t>The purpose of the final seminar is to provide the PhD candidate with feedback on how to strengthen the quality of the thesis, thereby contributing to quality assurance prior to submission. The final seminar is not mandatory but is offered to all PhD candidates.</w:t>
      </w:r>
      <w:r w:rsidR="00A87F8A" w:rsidRPr="004150AE">
        <w:t xml:space="preserve"> The assessment of doctoral degrees is regulated by the </w:t>
      </w:r>
      <w:hyperlink r:id="rId9" w:history="1">
        <w:r w:rsidR="00A87F8A" w:rsidRPr="004150AE">
          <w:rPr>
            <w:rStyle w:val="Hyperkobling"/>
            <w:i/>
            <w:iCs/>
          </w:rPr>
          <w:t>Regulations for the degree of philosophiae doctor (PhD) at Western Norway University of Applied Sciences</w:t>
        </w:r>
      </w:hyperlink>
      <w:r w:rsidR="00A87F8A" w:rsidRPr="004150AE">
        <w:t>.</w:t>
      </w:r>
    </w:p>
    <w:p w14:paraId="13FDEE5E" w14:textId="77777777" w:rsidR="00C0448D" w:rsidRPr="004150AE" w:rsidRDefault="00C0448D">
      <w:pPr>
        <w:pStyle w:val="Brdtekst"/>
        <w:spacing w:before="1"/>
        <w:rPr>
          <w:i/>
        </w:rPr>
      </w:pPr>
    </w:p>
    <w:p w14:paraId="1BBB437D" w14:textId="77777777" w:rsidR="00A82BDC" w:rsidRPr="004150AE" w:rsidRDefault="00A82BDC">
      <w:pPr>
        <w:pStyle w:val="Brdtekst"/>
        <w:spacing w:before="1"/>
        <w:rPr>
          <w:i/>
        </w:rPr>
      </w:pPr>
    </w:p>
    <w:p w14:paraId="768F857E" w14:textId="129086B0" w:rsidR="00F93C68" w:rsidRPr="004150AE" w:rsidRDefault="00A82BDC">
      <w:pPr>
        <w:pStyle w:val="Overskrift2"/>
        <w:ind w:left="1"/>
        <w:rPr>
          <w:color w:val="365F91"/>
        </w:rPr>
      </w:pPr>
      <w:bookmarkStart w:id="0" w:name="1._Om_norske_doktorgrader"/>
      <w:bookmarkEnd w:id="0"/>
      <w:r w:rsidRPr="004150AE">
        <w:rPr>
          <w:color w:val="365F91"/>
        </w:rPr>
        <w:t>Learning outcomes for doctoral theses in Health, Function and Participation</w:t>
      </w:r>
    </w:p>
    <w:p w14:paraId="61A95346" w14:textId="77777777" w:rsidR="00A82BDC" w:rsidRPr="004150AE" w:rsidRDefault="00A82BDC">
      <w:pPr>
        <w:pStyle w:val="Overskrift2"/>
        <w:ind w:left="1"/>
      </w:pPr>
    </w:p>
    <w:p w14:paraId="7FE5A5BC" w14:textId="7C3A069D" w:rsidR="00B6007B" w:rsidRPr="004150AE" w:rsidRDefault="00C67263" w:rsidP="00B6007B">
      <w:pPr>
        <w:pStyle w:val="Brdtekst"/>
        <w:ind w:right="221"/>
      </w:pPr>
      <w:r w:rsidRPr="004150AE">
        <w:t xml:space="preserve">A Norwegian PhD degree certifies research competence at </w:t>
      </w:r>
      <w:hyperlink r:id="rId10" w:history="1">
        <w:r w:rsidR="00434745" w:rsidRPr="004150AE">
          <w:rPr>
            <w:rStyle w:val="Hyperkobling"/>
          </w:rPr>
          <w:t>l</w:t>
        </w:r>
        <w:r w:rsidRPr="004150AE">
          <w:rPr>
            <w:rStyle w:val="Hyperkobling"/>
          </w:rPr>
          <w:t>evel 8 in the Norwegian Qualifications Framework for Higher Education</w:t>
        </w:r>
      </w:hyperlink>
      <w:r w:rsidRPr="004150AE">
        <w:t>. The framework specifies the knowledge, skills, and general competence the candidate should have achieved upon completion. These are further specified for the PhD programme in Health, Function and Participation as follows:</w:t>
      </w:r>
    </w:p>
    <w:p w14:paraId="2A0749D1" w14:textId="77777777" w:rsidR="00C67263" w:rsidRPr="004150AE" w:rsidRDefault="00C67263" w:rsidP="00B6007B">
      <w:pPr>
        <w:pStyle w:val="Brdtekst"/>
        <w:ind w:right="221"/>
        <w:rPr>
          <w:spacing w:val="40"/>
        </w:rPr>
      </w:pPr>
    </w:p>
    <w:p w14:paraId="4F8A5484" w14:textId="46746165" w:rsidR="00B6007B" w:rsidRPr="004150AE" w:rsidRDefault="009C58E0" w:rsidP="00B6007B">
      <w:pPr>
        <w:pStyle w:val="Brdtekst"/>
        <w:ind w:right="221"/>
        <w:rPr>
          <w:b/>
          <w:bCs/>
        </w:rPr>
      </w:pPr>
      <w:r w:rsidRPr="004150AE">
        <w:rPr>
          <w:b/>
          <w:bCs/>
        </w:rPr>
        <w:t>Knowledge</w:t>
      </w:r>
    </w:p>
    <w:p w14:paraId="08D93D19" w14:textId="767582D4" w:rsidR="00B6007B" w:rsidRPr="004150AE" w:rsidRDefault="00130F67" w:rsidP="00B6007B">
      <w:pPr>
        <w:pStyle w:val="Brdtekst"/>
        <w:ind w:right="221"/>
      </w:pPr>
      <w:r w:rsidRPr="004150AE">
        <w:t xml:space="preserve">The </w:t>
      </w:r>
      <w:r w:rsidR="00195E2C">
        <w:t>candidate</w:t>
      </w:r>
      <w:r w:rsidRPr="004150AE">
        <w:t xml:space="preserve"> …</w:t>
      </w:r>
    </w:p>
    <w:p w14:paraId="4D34BCC1" w14:textId="31894C65" w:rsidR="004B7600" w:rsidRPr="004B7600" w:rsidRDefault="004B7600" w:rsidP="004B7600">
      <w:pPr>
        <w:pStyle w:val="Brdtekst"/>
        <w:numPr>
          <w:ilvl w:val="0"/>
          <w:numId w:val="15"/>
        </w:numPr>
        <w:ind w:right="221"/>
      </w:pPr>
      <w:r w:rsidRPr="004B7600">
        <w:t>is in the knowledge front within their field of study and relates this to scientific theoretical and research ethical issues with relevance to health science</w:t>
      </w:r>
      <w:r w:rsidR="00616D55" w:rsidRPr="004150AE">
        <w:t>.</w:t>
      </w:r>
    </w:p>
    <w:p w14:paraId="7B3A06C9" w14:textId="099A7810" w:rsidR="004B7600" w:rsidRPr="004B7600" w:rsidRDefault="004B7600" w:rsidP="004B7600">
      <w:pPr>
        <w:pStyle w:val="Brdtekst"/>
        <w:numPr>
          <w:ilvl w:val="0"/>
          <w:numId w:val="15"/>
        </w:numPr>
        <w:ind w:right="221"/>
      </w:pPr>
      <w:r w:rsidRPr="004B7600">
        <w:t>can place their research area at individual, group and community level and in relation to contextual conditions for health, function and participation</w:t>
      </w:r>
      <w:r w:rsidR="00616D55" w:rsidRPr="004150AE">
        <w:t>.</w:t>
      </w:r>
    </w:p>
    <w:p w14:paraId="7C234294" w14:textId="7B95B7A0" w:rsidR="004B7600" w:rsidRPr="004B7600" w:rsidRDefault="004B7600" w:rsidP="004B7600">
      <w:pPr>
        <w:pStyle w:val="Brdtekst"/>
        <w:numPr>
          <w:ilvl w:val="0"/>
          <w:numId w:val="15"/>
        </w:numPr>
        <w:ind w:right="221"/>
      </w:pPr>
      <w:r w:rsidRPr="004B7600">
        <w:t>is able to contribute to the development of practical and theoretical knowledge, develop theories, methods and forms of documentation within their research area</w:t>
      </w:r>
      <w:r w:rsidR="00616D55" w:rsidRPr="004150AE">
        <w:t>.</w:t>
      </w:r>
    </w:p>
    <w:p w14:paraId="5FDAC209" w14:textId="77777777" w:rsidR="00026AD9" w:rsidRPr="004150AE" w:rsidRDefault="00026AD9" w:rsidP="00026AD9">
      <w:pPr>
        <w:pStyle w:val="Brdtekst"/>
        <w:ind w:left="720" w:right="221"/>
      </w:pPr>
    </w:p>
    <w:p w14:paraId="6C167A2F" w14:textId="1D0C0379" w:rsidR="00B6007B" w:rsidRPr="004150AE" w:rsidRDefault="00616D55" w:rsidP="00B6007B">
      <w:pPr>
        <w:pStyle w:val="Brdtekst"/>
        <w:ind w:right="221"/>
        <w:rPr>
          <w:b/>
          <w:bCs/>
        </w:rPr>
      </w:pPr>
      <w:r w:rsidRPr="004150AE">
        <w:rPr>
          <w:b/>
          <w:bCs/>
        </w:rPr>
        <w:t>Skills</w:t>
      </w:r>
    </w:p>
    <w:p w14:paraId="286A1BD1" w14:textId="5517AA43" w:rsidR="00D45A55" w:rsidRPr="004150AE" w:rsidRDefault="00616D55" w:rsidP="00D45A55">
      <w:pPr>
        <w:pStyle w:val="Brdtekst"/>
        <w:ind w:right="221"/>
      </w:pPr>
      <w:r w:rsidRPr="004150AE">
        <w:t xml:space="preserve">The </w:t>
      </w:r>
      <w:r w:rsidR="00195E2C">
        <w:t>candidate</w:t>
      </w:r>
      <w:r w:rsidR="00B6007B" w:rsidRPr="004150AE">
        <w:t xml:space="preserve"> ...</w:t>
      </w:r>
    </w:p>
    <w:p w14:paraId="5E49E4B1" w14:textId="1D6ED2E2" w:rsidR="0063435B" w:rsidRPr="0063435B" w:rsidRDefault="0063435B" w:rsidP="0063435B">
      <w:pPr>
        <w:pStyle w:val="Brdtekst"/>
        <w:numPr>
          <w:ilvl w:val="0"/>
          <w:numId w:val="16"/>
        </w:numPr>
        <w:ind w:right="221"/>
      </w:pPr>
      <w:r w:rsidRPr="0063435B">
        <w:t>can formulate, plan and conduct ethically and methodically sound research and development work at a high international level</w:t>
      </w:r>
      <w:r w:rsidRPr="004150AE">
        <w:t>.</w:t>
      </w:r>
    </w:p>
    <w:p w14:paraId="53D746DF" w14:textId="2DB31C34" w:rsidR="0063435B" w:rsidRPr="0063435B" w:rsidRDefault="0063435B" w:rsidP="0063435B">
      <w:pPr>
        <w:pStyle w:val="Brdtekst"/>
        <w:numPr>
          <w:ilvl w:val="0"/>
          <w:numId w:val="16"/>
        </w:numPr>
        <w:ind w:right="221"/>
      </w:pPr>
      <w:r w:rsidRPr="0063435B">
        <w:t>can critically evaluate own research results in relation to previous research</w:t>
      </w:r>
      <w:r w:rsidRPr="004150AE">
        <w:t>.</w:t>
      </w:r>
    </w:p>
    <w:p w14:paraId="04C6BA6C" w14:textId="432EC161" w:rsidR="0063435B" w:rsidRPr="004150AE" w:rsidRDefault="0063435B" w:rsidP="0063435B">
      <w:pPr>
        <w:pStyle w:val="Brdtekst"/>
        <w:numPr>
          <w:ilvl w:val="0"/>
          <w:numId w:val="16"/>
        </w:numPr>
        <w:ind w:right="221"/>
      </w:pPr>
      <w:r w:rsidRPr="0063435B">
        <w:t>can handle complex academic questions and contribute to new practical and theoretical knowledge in their field of research</w:t>
      </w:r>
      <w:r w:rsidRPr="004150AE">
        <w:t>.</w:t>
      </w:r>
    </w:p>
    <w:p w14:paraId="29452FD4" w14:textId="77777777" w:rsidR="0063435B" w:rsidRPr="004150AE" w:rsidRDefault="0063435B" w:rsidP="00B6007B">
      <w:pPr>
        <w:pStyle w:val="Brdtekst"/>
        <w:ind w:right="221"/>
        <w:rPr>
          <w:b/>
          <w:bCs/>
        </w:rPr>
      </w:pPr>
    </w:p>
    <w:p w14:paraId="2CE108DB" w14:textId="660A274D" w:rsidR="00B6007B" w:rsidRPr="004150AE" w:rsidRDefault="0063435B" w:rsidP="00B6007B">
      <w:pPr>
        <w:pStyle w:val="Brdtekst"/>
        <w:ind w:right="221"/>
        <w:rPr>
          <w:b/>
          <w:bCs/>
        </w:rPr>
      </w:pPr>
      <w:r w:rsidRPr="004150AE">
        <w:rPr>
          <w:b/>
          <w:bCs/>
        </w:rPr>
        <w:t>General competence</w:t>
      </w:r>
    </w:p>
    <w:p w14:paraId="501D7487" w14:textId="41E43A04" w:rsidR="00B6007B" w:rsidRPr="004150AE" w:rsidRDefault="00130F67" w:rsidP="00B6007B">
      <w:pPr>
        <w:pStyle w:val="Brdtekst"/>
        <w:ind w:right="221"/>
      </w:pPr>
      <w:r w:rsidRPr="004150AE">
        <w:t xml:space="preserve">The </w:t>
      </w:r>
      <w:r w:rsidR="004F4D32">
        <w:t>candidate</w:t>
      </w:r>
      <w:r w:rsidR="00B6007B" w:rsidRPr="004150AE">
        <w:t xml:space="preserve"> ...</w:t>
      </w:r>
    </w:p>
    <w:p w14:paraId="0EE5E5D2" w14:textId="6BCB7E2C" w:rsidR="004150AE" w:rsidRPr="004150AE" w:rsidRDefault="004150AE" w:rsidP="004150AE">
      <w:pPr>
        <w:pStyle w:val="Brdtekst"/>
        <w:numPr>
          <w:ilvl w:val="0"/>
          <w:numId w:val="16"/>
        </w:numPr>
        <w:ind w:right="221"/>
      </w:pPr>
      <w:r w:rsidRPr="004150AE">
        <w:t>can carry out research with professional integrity and high ethical standards within the established scientific norms and traditions in health science research.</w:t>
      </w:r>
    </w:p>
    <w:p w14:paraId="24AE6648" w14:textId="785AE8A7" w:rsidR="004150AE" w:rsidRPr="004150AE" w:rsidRDefault="004150AE" w:rsidP="004150AE">
      <w:pPr>
        <w:pStyle w:val="Brdtekst"/>
        <w:numPr>
          <w:ilvl w:val="0"/>
          <w:numId w:val="16"/>
        </w:numPr>
        <w:ind w:right="221"/>
      </w:pPr>
      <w:r w:rsidRPr="004150AE">
        <w:lastRenderedPageBreak/>
        <w:t>can disseminate and publish research results through recognized national and international health science channels, including scientific workshops, conferences and journals.</w:t>
      </w:r>
    </w:p>
    <w:p w14:paraId="5196AC73" w14:textId="62DA9199" w:rsidR="004150AE" w:rsidRPr="004150AE" w:rsidRDefault="004150AE" w:rsidP="004150AE">
      <w:pPr>
        <w:pStyle w:val="Brdtekst"/>
        <w:numPr>
          <w:ilvl w:val="0"/>
          <w:numId w:val="16"/>
        </w:numPr>
        <w:ind w:right="221"/>
      </w:pPr>
      <w:r w:rsidRPr="004150AE">
        <w:t>can participate in debates within their field of study in relevant national and international forums.</w:t>
      </w:r>
    </w:p>
    <w:p w14:paraId="1C629EE2" w14:textId="0E2D3ED0" w:rsidR="004150AE" w:rsidRPr="004150AE" w:rsidRDefault="004150AE" w:rsidP="004150AE">
      <w:pPr>
        <w:pStyle w:val="Brdtekst"/>
        <w:numPr>
          <w:ilvl w:val="0"/>
          <w:numId w:val="16"/>
        </w:numPr>
        <w:ind w:right="221"/>
      </w:pPr>
      <w:r w:rsidRPr="004150AE">
        <w:t>can communicate research results to the public both orally and in writing.</w:t>
      </w:r>
    </w:p>
    <w:p w14:paraId="0E75F52F" w14:textId="53FB6A52" w:rsidR="004150AE" w:rsidRPr="004150AE" w:rsidRDefault="004150AE" w:rsidP="004150AE">
      <w:pPr>
        <w:pStyle w:val="Brdtekst"/>
        <w:numPr>
          <w:ilvl w:val="0"/>
          <w:numId w:val="16"/>
        </w:numPr>
        <w:ind w:right="221"/>
      </w:pPr>
      <w:r w:rsidRPr="004150AE">
        <w:t>uses interdisciplinary approaches to analyse specific challenges related to health, function and participation.</w:t>
      </w:r>
    </w:p>
    <w:p w14:paraId="4C86F95E" w14:textId="77777777" w:rsidR="00530C59" w:rsidRPr="004150AE" w:rsidRDefault="00530C59" w:rsidP="00530C59">
      <w:pPr>
        <w:pStyle w:val="Overskrift2"/>
        <w:ind w:left="1"/>
        <w:rPr>
          <w:color w:val="365F91"/>
        </w:rPr>
      </w:pPr>
    </w:p>
    <w:p w14:paraId="1F8B336A" w14:textId="77777777" w:rsidR="00BF251F" w:rsidRPr="004150AE" w:rsidRDefault="00BF251F" w:rsidP="00530C59">
      <w:pPr>
        <w:pStyle w:val="Overskrift2"/>
        <w:ind w:left="1"/>
        <w:rPr>
          <w:color w:val="365F91"/>
        </w:rPr>
      </w:pPr>
    </w:p>
    <w:p w14:paraId="4207692A" w14:textId="7E32EF31" w:rsidR="006E3068" w:rsidRDefault="00076194" w:rsidP="008D0EF6">
      <w:pPr>
        <w:pStyle w:val="Overskrift2"/>
        <w:rPr>
          <w:color w:val="365F91"/>
        </w:rPr>
      </w:pPr>
      <w:r w:rsidRPr="00076194">
        <w:rPr>
          <w:color w:val="365F91"/>
        </w:rPr>
        <w:t>PhD theses in the PhD programme in Health, Functioning and Participation at Western Norway University of Applied Sciences</w:t>
      </w:r>
    </w:p>
    <w:p w14:paraId="681A0231" w14:textId="77777777" w:rsidR="00076194" w:rsidRPr="004150AE" w:rsidRDefault="00076194" w:rsidP="008D0EF6">
      <w:pPr>
        <w:pStyle w:val="Overskrift2"/>
      </w:pPr>
    </w:p>
    <w:p w14:paraId="10F66CFB" w14:textId="268C4429" w:rsidR="00D34477" w:rsidRDefault="00D34477" w:rsidP="00D34477">
      <w:pPr>
        <w:pStyle w:val="Brdtekst"/>
      </w:pPr>
      <w:r w:rsidRPr="00D34477">
        <w:t xml:space="preserve">According to the </w:t>
      </w:r>
      <w:hyperlink r:id="rId11" w:history="1">
        <w:r w:rsidRPr="00D34477">
          <w:rPr>
            <w:rStyle w:val="Hyperkobling"/>
            <w:i/>
            <w:iCs/>
          </w:rPr>
          <w:t>Regulations for the degree of philosophiae doctor (PhD) at Western Norway University of Applied Sciences</w:t>
        </w:r>
        <w:r w:rsidRPr="00D34477">
          <w:rPr>
            <w:rStyle w:val="Hyperkobling"/>
          </w:rPr>
          <w:t xml:space="preserve"> § 4-10</w:t>
        </w:r>
      </w:hyperlink>
      <w:r w:rsidRPr="00D34477">
        <w:t xml:space="preserve"> and </w:t>
      </w:r>
      <w:hyperlink r:id="rId12" w:history="1">
        <w:r w:rsidR="0097571C" w:rsidRPr="003B6603">
          <w:rPr>
            <w:rStyle w:val="Hyperkobling"/>
          </w:rPr>
          <w:t xml:space="preserve">Admission requirements /  Supplementary Guidelines for the PhD Programme </w:t>
        </w:r>
        <w:r w:rsidR="0097571C" w:rsidRPr="003B6603">
          <w:rPr>
            <w:rStyle w:val="Hyperkobling"/>
            <w:i/>
            <w:iCs/>
          </w:rPr>
          <w:t xml:space="preserve">Health, Function and Participation, </w:t>
        </w:r>
        <w:r w:rsidR="0097571C" w:rsidRPr="003B6603">
          <w:rPr>
            <w:rStyle w:val="Hyperkobling"/>
          </w:rPr>
          <w:t>Western Norway University of Applied Sciences (HVL)</w:t>
        </w:r>
      </w:hyperlink>
      <w:r w:rsidRPr="00D34477">
        <w:t>, the following requirements apply:</w:t>
      </w:r>
    </w:p>
    <w:p w14:paraId="4515CE1A" w14:textId="77777777" w:rsidR="0007501C" w:rsidRDefault="0007501C" w:rsidP="008479E5">
      <w:pPr>
        <w:pStyle w:val="Brdtekst"/>
        <w:numPr>
          <w:ilvl w:val="0"/>
          <w:numId w:val="8"/>
        </w:numPr>
      </w:pPr>
      <w:r w:rsidRPr="0007501C">
        <w:t>The thesis must be an independent research project that meets international standards for research ethics, academic level and methodology used in the relevant research field.</w:t>
      </w:r>
    </w:p>
    <w:p w14:paraId="49F10918" w14:textId="77777777" w:rsidR="005167DC" w:rsidRDefault="005167DC" w:rsidP="00B77420">
      <w:pPr>
        <w:pStyle w:val="Brdtekst"/>
        <w:numPr>
          <w:ilvl w:val="0"/>
          <w:numId w:val="8"/>
        </w:numPr>
        <w:ind w:right="221"/>
      </w:pPr>
      <w:r w:rsidRPr="005167DC">
        <w:t>The thesis shall contribute to the development of new academic knowledge and be of a standard that indicates it could be published as part of the scientific literature of the field.</w:t>
      </w:r>
    </w:p>
    <w:p w14:paraId="451CDE9F" w14:textId="77777777" w:rsidR="00966919" w:rsidRDefault="000832AD" w:rsidP="0065357F">
      <w:pPr>
        <w:pStyle w:val="Brdtekst"/>
        <w:numPr>
          <w:ilvl w:val="0"/>
          <w:numId w:val="8"/>
        </w:numPr>
        <w:ind w:right="221"/>
      </w:pPr>
      <w:r w:rsidRPr="000832AD">
        <w:t xml:space="preserve">The normal structure of the thesis consists of a summary (synthesis) and three to four scientific articles that have been published or submitted to peer-reviewed journals. Alternatively, a monograph may be submitted. </w:t>
      </w:r>
    </w:p>
    <w:p w14:paraId="4B387681" w14:textId="77777777" w:rsidR="00966919" w:rsidRDefault="00966919" w:rsidP="00DE2199">
      <w:pPr>
        <w:pStyle w:val="Brdtekst"/>
        <w:numPr>
          <w:ilvl w:val="0"/>
          <w:numId w:val="8"/>
        </w:numPr>
        <w:ind w:right="221"/>
      </w:pPr>
      <w:r w:rsidRPr="00966919">
        <w:t>The synthesis shall place the research in a broader theoretical and methodological context and normally include an introduction, the theoretical framework for the study and the individual articles, research questions for each article, presentation and discussion of design and methods, a summary of key findings, and a discussion of the thesis’s knowledge contributions to the field.</w:t>
      </w:r>
    </w:p>
    <w:p w14:paraId="2488965A" w14:textId="77777777" w:rsidR="00B513CA" w:rsidRDefault="00B513CA" w:rsidP="008479E5">
      <w:pPr>
        <w:pStyle w:val="Brdtekst"/>
        <w:numPr>
          <w:ilvl w:val="0"/>
          <w:numId w:val="8"/>
        </w:numPr>
      </w:pPr>
      <w:r w:rsidRPr="00B513CA">
        <w:t xml:space="preserve">The number of articles may vary depending on quality and scope and shall be determined in consultation with the supervisor. At least half of the articles must be published or accepted in recognised peer-reviewed journals at the time of submission. The candidate shall be the first author on at least two articles. </w:t>
      </w:r>
    </w:p>
    <w:p w14:paraId="4C31C222" w14:textId="2FEAD71E" w:rsidR="00F03FFC" w:rsidRPr="004150AE" w:rsidRDefault="00CF7E0E" w:rsidP="00CF7E0E">
      <w:pPr>
        <w:pStyle w:val="Brdtekst"/>
        <w:numPr>
          <w:ilvl w:val="0"/>
          <w:numId w:val="8"/>
        </w:numPr>
      </w:pPr>
      <w:bookmarkStart w:id="1" w:name="2._Om_arbeidsfordelingen_mellom_komitéme"/>
      <w:bookmarkStart w:id="2" w:name="3._Bedømmelseskomiteens_vurdering_av_avh"/>
      <w:bookmarkEnd w:id="1"/>
      <w:bookmarkEnd w:id="2"/>
      <w:r w:rsidRPr="00CF7E0E">
        <w:t>If a written work has been produced in collaboration with other authors, the PhD</w:t>
      </w:r>
      <w:r>
        <w:t xml:space="preserve"> </w:t>
      </w:r>
      <w:r w:rsidRPr="00CF7E0E">
        <w:t>candidate must adhere to the norms for co-authorship that are generally accepted in the academic community and in accordance with international standards.</w:t>
      </w:r>
    </w:p>
    <w:p w14:paraId="48865B6C" w14:textId="77777777" w:rsidR="00410C9D" w:rsidRDefault="00410C9D" w:rsidP="00F03FFC">
      <w:pPr>
        <w:pStyle w:val="Overskrift2"/>
        <w:tabs>
          <w:tab w:val="left" w:pos="359"/>
        </w:tabs>
        <w:spacing w:line="240" w:lineRule="auto"/>
      </w:pPr>
    </w:p>
    <w:p w14:paraId="13A14541" w14:textId="77777777" w:rsidR="00300D71" w:rsidRPr="004150AE" w:rsidRDefault="00300D71" w:rsidP="00F03FFC">
      <w:pPr>
        <w:pStyle w:val="Overskrift2"/>
        <w:tabs>
          <w:tab w:val="left" w:pos="359"/>
        </w:tabs>
        <w:spacing w:line="240" w:lineRule="auto"/>
      </w:pPr>
    </w:p>
    <w:p w14:paraId="13FDEE7E" w14:textId="5A1510B6" w:rsidR="00C0448D" w:rsidRPr="004150AE" w:rsidRDefault="00300D71" w:rsidP="00935291">
      <w:pPr>
        <w:pStyle w:val="Overskrift2"/>
        <w:tabs>
          <w:tab w:val="left" w:pos="359"/>
        </w:tabs>
        <w:spacing w:line="240" w:lineRule="auto"/>
      </w:pPr>
      <w:r w:rsidRPr="00300D71">
        <w:rPr>
          <w:color w:val="365F91"/>
        </w:rPr>
        <w:t>The reviewer’s assessment of the thesis</w:t>
      </w:r>
    </w:p>
    <w:p w14:paraId="67A903F0" w14:textId="77777777" w:rsidR="00434800" w:rsidRDefault="00434800" w:rsidP="006900B1">
      <w:pPr>
        <w:pStyle w:val="Brdtekst"/>
        <w:spacing w:before="1"/>
        <w:rPr>
          <w:lang w:val="nb-NO"/>
        </w:rPr>
      </w:pPr>
    </w:p>
    <w:p w14:paraId="1AC9F436" w14:textId="1A81265A" w:rsidR="006900B1" w:rsidRPr="006900B1" w:rsidRDefault="006900B1" w:rsidP="006900B1">
      <w:pPr>
        <w:pStyle w:val="Brdtekst"/>
        <w:spacing w:before="1"/>
      </w:pPr>
      <w:r w:rsidRPr="006900B1">
        <w:t>The assessment should emphasize the quality, relevance, and significance of the doctoral work. Particular attention should be paid to whether the thesis constitutes an independent and coherent scientific work at a high academic level in terms of</w:t>
      </w:r>
      <w:r w:rsidRPr="000D3C63">
        <w:t xml:space="preserve"> </w:t>
      </w:r>
      <w:r w:rsidRPr="006900B1">
        <w:t>research questions</w:t>
      </w:r>
      <w:r w:rsidRPr="000D3C63">
        <w:t xml:space="preserve">, </w:t>
      </w:r>
      <w:r w:rsidRPr="006900B1">
        <w:t>methodological, theoretical, and empirical foundations</w:t>
      </w:r>
      <w:r w:rsidR="00434800" w:rsidRPr="000D3C63">
        <w:t xml:space="preserve">, </w:t>
      </w:r>
      <w:r w:rsidRPr="006900B1">
        <w:t>documentation</w:t>
      </w:r>
      <w:r w:rsidR="00434800" w:rsidRPr="000D3C63">
        <w:t xml:space="preserve">, </w:t>
      </w:r>
      <w:r w:rsidRPr="006900B1">
        <w:t>use of literature</w:t>
      </w:r>
      <w:r w:rsidR="00434800" w:rsidRPr="000D3C63">
        <w:t xml:space="preserve">, </w:t>
      </w:r>
      <w:r w:rsidRPr="006900B1">
        <w:t>presentation and structure</w:t>
      </w:r>
      <w:r w:rsidR="00434800" w:rsidRPr="000D3C63">
        <w:t xml:space="preserve">. </w:t>
      </w:r>
      <w:r w:rsidRPr="006900B1">
        <w:t>It is especially important to assess whether the material and methods are appropriate for addressing the research questions, and whether the arguments and conclusions are valid.</w:t>
      </w:r>
    </w:p>
    <w:p w14:paraId="13FDEE87" w14:textId="77777777" w:rsidR="00C0448D" w:rsidRPr="000D3C63" w:rsidRDefault="00C0448D">
      <w:pPr>
        <w:pStyle w:val="Brdtekst"/>
        <w:spacing w:before="1"/>
      </w:pPr>
    </w:p>
    <w:p w14:paraId="51D2FA4B" w14:textId="54338364" w:rsidR="00243F42" w:rsidRPr="000D3C63" w:rsidRDefault="00243F42" w:rsidP="007F02E7">
      <w:pPr>
        <w:pStyle w:val="Brdtekst"/>
        <w:spacing w:before="1"/>
        <w:ind w:right="420"/>
      </w:pPr>
    </w:p>
    <w:p w14:paraId="2A717BB5" w14:textId="77777777" w:rsidR="00243F42" w:rsidRPr="000D3C63" w:rsidRDefault="00243F42" w:rsidP="007F02E7">
      <w:pPr>
        <w:pStyle w:val="Brdtekst"/>
        <w:spacing w:before="1"/>
        <w:ind w:right="420"/>
      </w:pPr>
    </w:p>
    <w:p w14:paraId="55C7C0CE" w14:textId="3778451B" w:rsidR="00FC0E8F" w:rsidRPr="00FC0E8F" w:rsidRDefault="00FC0E8F" w:rsidP="00FC0E8F">
      <w:pPr>
        <w:pStyle w:val="Brdtekst"/>
        <w:spacing w:before="1"/>
        <w:ind w:right="420"/>
      </w:pPr>
      <w:r w:rsidRPr="00FC0E8F">
        <w:t xml:space="preserve">For article-based theses (articles and synopsis), the reviewer must assess whether the </w:t>
      </w:r>
      <w:r w:rsidRPr="00FC0E8F">
        <w:lastRenderedPageBreak/>
        <w:t>thesis as a whole adequately describes and justifies the design, implementation, and results of the research project. The reviewer should evaluate</w:t>
      </w:r>
      <w:r w:rsidRPr="000D3C63">
        <w:t xml:space="preserve"> </w:t>
      </w:r>
      <w:r w:rsidRPr="00FC0E8F">
        <w:t>how each article contributes to the overall research questions</w:t>
      </w:r>
      <w:r w:rsidRPr="000D3C63">
        <w:t xml:space="preserve">, </w:t>
      </w:r>
      <w:r w:rsidRPr="00FC0E8F">
        <w:t xml:space="preserve">the extent of overlap between articles </w:t>
      </w:r>
      <w:r w:rsidRPr="000D3C63">
        <w:t xml:space="preserve">, and </w:t>
      </w:r>
      <w:r w:rsidRPr="00FC0E8F">
        <w:t xml:space="preserve">which aspects are not covered by the articles </w:t>
      </w:r>
      <w:r w:rsidRPr="000D3C63">
        <w:t>.</w:t>
      </w:r>
      <w:r w:rsidRPr="00FC0E8F">
        <w:t>The synopsis should address these points and demonstrate how the project as a whole contributes to new and advanced knowledge in the field.</w:t>
      </w:r>
    </w:p>
    <w:p w14:paraId="52BEAB7D" w14:textId="77777777" w:rsidR="00243F42" w:rsidRPr="000D3C63" w:rsidRDefault="00243F42" w:rsidP="007F02E7">
      <w:pPr>
        <w:pStyle w:val="Brdtekst"/>
        <w:spacing w:before="1"/>
        <w:ind w:right="420"/>
      </w:pPr>
    </w:p>
    <w:p w14:paraId="33D2F837" w14:textId="193914C6" w:rsidR="00E419C5" w:rsidRDefault="00F03663" w:rsidP="007F02E7">
      <w:pPr>
        <w:pStyle w:val="Brdtekst"/>
        <w:spacing w:before="1"/>
        <w:ind w:right="420"/>
      </w:pPr>
      <w:r w:rsidRPr="000D3C63">
        <w:t>For monographs, the same assessment criteria apply. The work must appear coherent, comprehensive, and well-developed.</w:t>
      </w:r>
    </w:p>
    <w:p w14:paraId="1C755AD6" w14:textId="77777777" w:rsidR="000D3C63" w:rsidRPr="000D3C63" w:rsidRDefault="000D3C63" w:rsidP="007F02E7">
      <w:pPr>
        <w:pStyle w:val="Brdtekst"/>
        <w:spacing w:before="1"/>
        <w:ind w:right="420"/>
      </w:pPr>
    </w:p>
    <w:p w14:paraId="507D144C" w14:textId="77777777" w:rsidR="007F02E7" w:rsidRPr="000D3C63" w:rsidRDefault="007F02E7" w:rsidP="007F02E7">
      <w:pPr>
        <w:pStyle w:val="Brdtekst"/>
        <w:spacing w:before="1"/>
        <w:ind w:right="420"/>
      </w:pPr>
    </w:p>
    <w:p w14:paraId="13FDEE8E" w14:textId="649C6C59" w:rsidR="00C0448D" w:rsidRPr="000D3C63" w:rsidRDefault="00F03663">
      <w:pPr>
        <w:pStyle w:val="Brdtekst"/>
        <w:rPr>
          <w:b/>
          <w:bCs/>
          <w:color w:val="365F91"/>
          <w:sz w:val="26"/>
          <w:szCs w:val="26"/>
        </w:rPr>
      </w:pPr>
      <w:r w:rsidRPr="000D3C63">
        <w:rPr>
          <w:b/>
          <w:bCs/>
          <w:color w:val="365F91"/>
          <w:sz w:val="26"/>
          <w:szCs w:val="26"/>
        </w:rPr>
        <w:t>The reviewer’s feedback to the candidate</w:t>
      </w:r>
    </w:p>
    <w:p w14:paraId="17E820E5" w14:textId="77777777" w:rsidR="00F03663" w:rsidRPr="000D3C63" w:rsidRDefault="00F03663">
      <w:pPr>
        <w:pStyle w:val="Brdtekst"/>
      </w:pPr>
    </w:p>
    <w:p w14:paraId="76B07568" w14:textId="5DDEC6FB" w:rsidR="00D11534" w:rsidRPr="00D11534" w:rsidRDefault="00D11534" w:rsidP="00D11534">
      <w:pPr>
        <w:pStyle w:val="Brdtekst"/>
        <w:ind w:right="221"/>
      </w:pPr>
      <w:r w:rsidRPr="00D11534">
        <w:t>The final seminar should primarily take the form of a dialogue between the reviewer and the candidate, in which the candidate receives oral feedback.</w:t>
      </w:r>
      <w:r w:rsidR="00F3061A" w:rsidRPr="000D3C63">
        <w:t xml:space="preserve"> </w:t>
      </w:r>
      <w:r w:rsidRPr="00D11534">
        <w:t xml:space="preserve">In addition, the reviewer must provide a short written report (1–2 pages), which is sent to the candidate with a copy to the PhD </w:t>
      </w:r>
      <w:r w:rsidR="000D3C63" w:rsidRPr="000D3C63">
        <w:t>coordinator</w:t>
      </w:r>
      <w:r w:rsidRPr="00D11534">
        <w:t>. The report may be structured at the reviewer’s discretion.</w:t>
      </w:r>
    </w:p>
    <w:p w14:paraId="362C5341" w14:textId="1140C078" w:rsidR="00D11534" w:rsidRPr="00D11534" w:rsidRDefault="00D11534" w:rsidP="000D3C63">
      <w:pPr>
        <w:pStyle w:val="Brdtekst"/>
        <w:ind w:right="221"/>
      </w:pPr>
      <w:r w:rsidRPr="00D11534">
        <w:t>The recommendations provided should be aligned with</w:t>
      </w:r>
      <w:r w:rsidR="000D3C63" w:rsidRPr="000D3C63">
        <w:t xml:space="preserve"> </w:t>
      </w:r>
      <w:r w:rsidRPr="00D11534">
        <w:t>the learning outcomes of the PhD programme</w:t>
      </w:r>
      <w:r w:rsidR="000D3C63" w:rsidRPr="000D3C63">
        <w:t xml:space="preserve">, </w:t>
      </w:r>
      <w:r w:rsidRPr="00D11534">
        <w:t>the assessment criteria outlined above</w:t>
      </w:r>
      <w:r w:rsidR="000D3C63" w:rsidRPr="000D3C63">
        <w:t xml:space="preserve">, and </w:t>
      </w:r>
      <w:r w:rsidRPr="00D11534">
        <w:t>standards for high-quality scientific communication within the relevant field</w:t>
      </w:r>
      <w:r w:rsidR="000D3C63" w:rsidRPr="000D3C63">
        <w:t>.</w:t>
      </w:r>
    </w:p>
    <w:p w14:paraId="15098C31" w14:textId="77777777" w:rsidR="00CA001C" w:rsidRPr="000D3C63" w:rsidRDefault="00CA001C">
      <w:pPr>
        <w:pStyle w:val="Brdtekst"/>
        <w:ind w:right="221"/>
      </w:pPr>
    </w:p>
    <w:p w14:paraId="346CCFAB" w14:textId="77777777" w:rsidR="00846C2F" w:rsidRPr="000D3C63" w:rsidRDefault="00846C2F">
      <w:pPr>
        <w:pStyle w:val="Brdtekst"/>
        <w:ind w:right="221"/>
      </w:pPr>
    </w:p>
    <w:p w14:paraId="13FDEEA0" w14:textId="77777777" w:rsidR="00C0448D" w:rsidRPr="000D3C63" w:rsidRDefault="00C0448D">
      <w:pPr>
        <w:pStyle w:val="Brdtekst"/>
        <w:spacing w:before="11"/>
      </w:pPr>
    </w:p>
    <w:sectPr w:rsidR="00C0448D" w:rsidRPr="000D3C63">
      <w:footerReference w:type="default" r:id="rId13"/>
      <w:pgSz w:w="11920" w:h="16850"/>
      <w:pgMar w:top="1200" w:right="1417" w:bottom="1620" w:left="1559" w:header="0" w:footer="142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306B4" w14:textId="77777777" w:rsidR="00F868F4" w:rsidRPr="004150AE" w:rsidRDefault="00F868F4">
      <w:r w:rsidRPr="004150AE">
        <w:separator/>
      </w:r>
    </w:p>
  </w:endnote>
  <w:endnote w:type="continuationSeparator" w:id="0">
    <w:p w14:paraId="0C24BD84" w14:textId="77777777" w:rsidR="00F868F4" w:rsidRPr="004150AE" w:rsidRDefault="00F868F4">
      <w:r w:rsidRPr="004150A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DEEC8" w14:textId="77777777" w:rsidR="00C0448D" w:rsidRPr="004150AE" w:rsidRDefault="00A715CA">
    <w:pPr>
      <w:pStyle w:val="Brdtekst"/>
      <w:spacing w:line="14" w:lineRule="auto"/>
      <w:rPr>
        <w:sz w:val="20"/>
      </w:rPr>
    </w:pPr>
    <w:r w:rsidRPr="004150AE">
      <w:rPr>
        <w:noProof/>
        <w:sz w:val="20"/>
      </w:rPr>
      <mc:AlternateContent>
        <mc:Choice Requires="wps">
          <w:drawing>
            <wp:anchor distT="0" distB="0" distL="0" distR="0" simplePos="0" relativeHeight="487287296" behindDoc="1" locked="0" layoutInCell="1" allowOverlap="1" wp14:anchorId="13FDEEC9" wp14:editId="13FDEECA">
              <wp:simplePos x="0" y="0"/>
              <wp:positionH relativeFrom="page">
                <wp:posOffset>6464808</wp:posOffset>
              </wp:positionH>
              <wp:positionV relativeFrom="page">
                <wp:posOffset>9649486</wp:posOffset>
              </wp:positionV>
              <wp:extent cx="159385" cy="18097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80975"/>
                      </a:xfrm>
                      <a:prstGeom prst="rect">
                        <a:avLst/>
                      </a:prstGeom>
                    </wps:spPr>
                    <wps:txbx>
                      <w:txbxContent>
                        <w:p w14:paraId="13FDEF46" w14:textId="77777777" w:rsidR="00C0448D" w:rsidRPr="004150AE" w:rsidRDefault="00A715CA">
                          <w:pPr>
                            <w:pStyle w:val="Brdtekst"/>
                            <w:spacing w:before="11"/>
                            <w:ind w:left="60"/>
                            <w:rPr>
                              <w:rFonts w:ascii="Times New Roman"/>
                            </w:rPr>
                          </w:pPr>
                          <w:r w:rsidRPr="004150AE">
                            <w:rPr>
                              <w:rFonts w:ascii="Times New Roman"/>
                              <w:spacing w:val="-10"/>
                            </w:rPr>
                            <w:fldChar w:fldCharType="begin"/>
                          </w:r>
                          <w:r w:rsidRPr="004150AE">
                            <w:rPr>
                              <w:rFonts w:ascii="Times New Roman"/>
                              <w:spacing w:val="-10"/>
                            </w:rPr>
                            <w:instrText xml:space="preserve"> PAGE </w:instrText>
                          </w:r>
                          <w:r w:rsidRPr="004150AE">
                            <w:rPr>
                              <w:rFonts w:ascii="Times New Roman"/>
                              <w:spacing w:val="-10"/>
                            </w:rPr>
                            <w:fldChar w:fldCharType="separate"/>
                          </w:r>
                          <w:r w:rsidRPr="004150AE">
                            <w:rPr>
                              <w:rFonts w:ascii="Times New Roman"/>
                              <w:spacing w:val="-10"/>
                            </w:rPr>
                            <w:t>2</w:t>
                          </w:r>
                          <w:r w:rsidRPr="004150AE">
                            <w:rPr>
                              <w:rFonts w:ascii="Times New Roman"/>
                              <w:spacing w:val="-10"/>
                            </w:rPr>
                            <w:fldChar w:fldCharType="end"/>
                          </w:r>
                        </w:p>
                      </w:txbxContent>
                    </wps:txbx>
                    <wps:bodyPr wrap="square" lIns="0" tIns="0" rIns="0" bIns="0" rtlCol="0">
                      <a:noAutofit/>
                    </wps:bodyPr>
                  </wps:wsp>
                </a:graphicData>
              </a:graphic>
            </wp:anchor>
          </w:drawing>
        </mc:Choice>
        <mc:Fallback>
          <w:pict>
            <v:shapetype w14:anchorId="13FDEEC9" id="_x0000_t202" coordsize="21600,21600" o:spt="202" path="m,l,21600r21600,l21600,xe">
              <v:stroke joinstyle="miter"/>
              <v:path gradientshapeok="t" o:connecttype="rect"/>
            </v:shapetype>
            <v:shape id="Textbox 2" o:spid="_x0000_s1026" type="#_x0000_t202" style="position:absolute;margin-left:509.05pt;margin-top:759.8pt;width:12.55pt;height:14.25pt;z-index:-16029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" filled="f" stroked="f">
              <v:textbox inset="0,0,0,0">
                <w:txbxContent>
                  <w:p w14:paraId="13FDEF46" w14:textId="77777777" w:rsidR="00C0448D" w:rsidRPr="004150AE" w:rsidRDefault="00A715CA">
                    <w:pPr>
                      <w:pStyle w:val="Brdtekst"/>
                      <w:spacing w:before="11"/>
                      <w:ind w:left="60"/>
                      <w:rPr>
                        <w:rFonts w:ascii="Times New Roman"/>
                      </w:rPr>
                    </w:pPr>
                    <w:r w:rsidRPr="004150AE">
                      <w:rPr>
                        <w:rFonts w:ascii="Times New Roman"/>
                        <w:spacing w:val="-10"/>
                      </w:rPr>
                      <w:fldChar w:fldCharType="begin"/>
                    </w:r>
                    <w:r w:rsidRPr="004150AE">
                      <w:rPr>
                        <w:rFonts w:ascii="Times New Roman"/>
                        <w:spacing w:val="-10"/>
                      </w:rPr>
                      <w:instrText xml:space="preserve"> PAGE </w:instrText>
                    </w:r>
                    <w:r w:rsidRPr="004150AE">
                      <w:rPr>
                        <w:rFonts w:ascii="Times New Roman"/>
                        <w:spacing w:val="-10"/>
                      </w:rPr>
                      <w:fldChar w:fldCharType="separate"/>
                    </w:r>
                    <w:r w:rsidRPr="004150AE">
                      <w:rPr>
                        <w:rFonts w:ascii="Times New Roman"/>
                        <w:spacing w:val="-10"/>
                      </w:rPr>
                      <w:t>2</w:t>
                    </w:r>
                    <w:r w:rsidRPr="004150AE">
                      <w:rPr>
                        <w:rFonts w:ascii="Times New Roman"/>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24E0F" w14:textId="77777777" w:rsidR="00F868F4" w:rsidRPr="004150AE" w:rsidRDefault="00F868F4">
      <w:r w:rsidRPr="004150AE">
        <w:separator/>
      </w:r>
    </w:p>
  </w:footnote>
  <w:footnote w:type="continuationSeparator" w:id="0">
    <w:p w14:paraId="7FDEC553" w14:textId="77777777" w:rsidR="00F868F4" w:rsidRPr="004150AE" w:rsidRDefault="00F868F4">
      <w:r w:rsidRPr="004150AE">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B4EE3"/>
    <w:multiLevelType w:val="multilevel"/>
    <w:tmpl w:val="4424910A"/>
    <w:lvl w:ilvl="0">
      <w:start w:val="3"/>
      <w:numFmt w:val="decimal"/>
      <w:lvlText w:val="%1."/>
      <w:lvlJc w:val="left"/>
      <w:pPr>
        <w:ind w:left="361" w:hanging="361"/>
      </w:pPr>
      <w:rPr>
        <w:rFonts w:ascii="Cambria" w:eastAsia="Cambria" w:hAnsi="Cambria" w:cs="Cambria" w:hint="default"/>
        <w:b/>
        <w:bCs/>
        <w:i w:val="0"/>
        <w:iCs w:val="0"/>
        <w:color w:val="365F91"/>
        <w:spacing w:val="0"/>
        <w:w w:val="99"/>
        <w:sz w:val="26"/>
        <w:szCs w:val="26"/>
        <w:lang w:val="nn-NO" w:eastAsia="en-US" w:bidi="ar-SA"/>
      </w:rPr>
    </w:lvl>
    <w:lvl w:ilvl="1">
      <w:start w:val="1"/>
      <w:numFmt w:val="decimal"/>
      <w:lvlText w:val="%1.%2"/>
      <w:lvlJc w:val="left"/>
      <w:pPr>
        <w:ind w:left="361" w:hanging="360"/>
      </w:pPr>
      <w:rPr>
        <w:rFonts w:ascii="Cambria" w:eastAsia="Cambria" w:hAnsi="Cambria" w:cs="Cambria" w:hint="default"/>
        <w:b w:val="0"/>
        <w:bCs w:val="0"/>
        <w:i w:val="0"/>
        <w:iCs w:val="0"/>
        <w:color w:val="243F60"/>
        <w:spacing w:val="-1"/>
        <w:w w:val="100"/>
        <w:sz w:val="24"/>
        <w:szCs w:val="24"/>
        <w:lang w:val="nn-NO" w:eastAsia="en-US" w:bidi="ar-SA"/>
      </w:rPr>
    </w:lvl>
    <w:lvl w:ilvl="2">
      <w:numFmt w:val="bullet"/>
      <w:lvlText w:val="•"/>
      <w:lvlJc w:val="left"/>
      <w:pPr>
        <w:ind w:left="2075" w:hanging="360"/>
      </w:pPr>
      <w:rPr>
        <w:rFonts w:hint="default"/>
        <w:lang w:val="nn-NO" w:eastAsia="en-US" w:bidi="ar-SA"/>
      </w:rPr>
    </w:lvl>
    <w:lvl w:ilvl="3">
      <w:numFmt w:val="bullet"/>
      <w:lvlText w:val="•"/>
      <w:lvlJc w:val="left"/>
      <w:pPr>
        <w:ind w:left="2932" w:hanging="360"/>
      </w:pPr>
      <w:rPr>
        <w:rFonts w:hint="default"/>
        <w:lang w:val="nn-NO" w:eastAsia="en-US" w:bidi="ar-SA"/>
      </w:rPr>
    </w:lvl>
    <w:lvl w:ilvl="4">
      <w:numFmt w:val="bullet"/>
      <w:lvlText w:val="•"/>
      <w:lvlJc w:val="left"/>
      <w:pPr>
        <w:ind w:left="3790" w:hanging="360"/>
      </w:pPr>
      <w:rPr>
        <w:rFonts w:hint="default"/>
        <w:lang w:val="nn-NO" w:eastAsia="en-US" w:bidi="ar-SA"/>
      </w:rPr>
    </w:lvl>
    <w:lvl w:ilvl="5">
      <w:numFmt w:val="bullet"/>
      <w:lvlText w:val="•"/>
      <w:lvlJc w:val="left"/>
      <w:pPr>
        <w:ind w:left="4647" w:hanging="360"/>
      </w:pPr>
      <w:rPr>
        <w:rFonts w:hint="default"/>
        <w:lang w:val="nn-NO" w:eastAsia="en-US" w:bidi="ar-SA"/>
      </w:rPr>
    </w:lvl>
    <w:lvl w:ilvl="6">
      <w:numFmt w:val="bullet"/>
      <w:lvlText w:val="•"/>
      <w:lvlJc w:val="left"/>
      <w:pPr>
        <w:ind w:left="5505" w:hanging="360"/>
      </w:pPr>
      <w:rPr>
        <w:rFonts w:hint="default"/>
        <w:lang w:val="nn-NO" w:eastAsia="en-US" w:bidi="ar-SA"/>
      </w:rPr>
    </w:lvl>
    <w:lvl w:ilvl="7">
      <w:numFmt w:val="bullet"/>
      <w:lvlText w:val="•"/>
      <w:lvlJc w:val="left"/>
      <w:pPr>
        <w:ind w:left="6362" w:hanging="360"/>
      </w:pPr>
      <w:rPr>
        <w:rFonts w:hint="default"/>
        <w:lang w:val="nn-NO" w:eastAsia="en-US" w:bidi="ar-SA"/>
      </w:rPr>
    </w:lvl>
    <w:lvl w:ilvl="8">
      <w:numFmt w:val="bullet"/>
      <w:lvlText w:val="•"/>
      <w:lvlJc w:val="left"/>
      <w:pPr>
        <w:ind w:left="7220" w:hanging="360"/>
      </w:pPr>
      <w:rPr>
        <w:rFonts w:hint="default"/>
        <w:lang w:val="nn-NO" w:eastAsia="en-US" w:bidi="ar-SA"/>
      </w:rPr>
    </w:lvl>
  </w:abstractNum>
  <w:abstractNum w:abstractNumId="1" w15:restartNumberingAfterBreak="0">
    <w:nsid w:val="13FE37C3"/>
    <w:multiLevelType w:val="multilevel"/>
    <w:tmpl w:val="F1D4D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373E90"/>
    <w:multiLevelType w:val="hybridMultilevel"/>
    <w:tmpl w:val="5A9A4456"/>
    <w:lvl w:ilvl="0" w:tplc="7A5459CC">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3" w15:restartNumberingAfterBreak="0">
    <w:nsid w:val="14B3582F"/>
    <w:multiLevelType w:val="multilevel"/>
    <w:tmpl w:val="AA447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D96A4F"/>
    <w:multiLevelType w:val="multilevel"/>
    <w:tmpl w:val="28826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AA0CF4"/>
    <w:multiLevelType w:val="hybridMultilevel"/>
    <w:tmpl w:val="36F0E3FC"/>
    <w:lvl w:ilvl="0" w:tplc="CE14892A">
      <w:start w:val="1"/>
      <w:numFmt w:val="lowerLetter"/>
      <w:lvlText w:val="%1."/>
      <w:lvlJc w:val="left"/>
      <w:pPr>
        <w:ind w:left="823" w:hanging="360"/>
      </w:pPr>
      <w:rPr>
        <w:rFonts w:ascii="Calibri" w:eastAsia="Calibri" w:hAnsi="Calibri" w:cs="Calibri" w:hint="default"/>
        <w:b w:val="0"/>
        <w:bCs w:val="0"/>
        <w:i w:val="0"/>
        <w:iCs w:val="0"/>
        <w:spacing w:val="-1"/>
        <w:w w:val="100"/>
        <w:sz w:val="16"/>
        <w:szCs w:val="16"/>
        <w:lang w:val="nn-NO" w:eastAsia="en-US" w:bidi="ar-SA"/>
      </w:rPr>
    </w:lvl>
    <w:lvl w:ilvl="1" w:tplc="A4C22A44">
      <w:numFmt w:val="bullet"/>
      <w:lvlText w:val="•"/>
      <w:lvlJc w:val="left"/>
      <w:pPr>
        <w:ind w:left="1616" w:hanging="360"/>
      </w:pPr>
      <w:rPr>
        <w:rFonts w:hint="default"/>
        <w:lang w:val="nn-NO" w:eastAsia="en-US" w:bidi="ar-SA"/>
      </w:rPr>
    </w:lvl>
    <w:lvl w:ilvl="2" w:tplc="E550C08A">
      <w:numFmt w:val="bullet"/>
      <w:lvlText w:val="•"/>
      <w:lvlJc w:val="left"/>
      <w:pPr>
        <w:ind w:left="2412" w:hanging="360"/>
      </w:pPr>
      <w:rPr>
        <w:rFonts w:hint="default"/>
        <w:lang w:val="nn-NO" w:eastAsia="en-US" w:bidi="ar-SA"/>
      </w:rPr>
    </w:lvl>
    <w:lvl w:ilvl="3" w:tplc="1D245BC6">
      <w:numFmt w:val="bullet"/>
      <w:lvlText w:val="•"/>
      <w:lvlJc w:val="left"/>
      <w:pPr>
        <w:ind w:left="3208" w:hanging="360"/>
      </w:pPr>
      <w:rPr>
        <w:rFonts w:hint="default"/>
        <w:lang w:val="nn-NO" w:eastAsia="en-US" w:bidi="ar-SA"/>
      </w:rPr>
    </w:lvl>
    <w:lvl w:ilvl="4" w:tplc="0C8CD4C6">
      <w:numFmt w:val="bullet"/>
      <w:lvlText w:val="•"/>
      <w:lvlJc w:val="left"/>
      <w:pPr>
        <w:ind w:left="4004" w:hanging="360"/>
      </w:pPr>
      <w:rPr>
        <w:rFonts w:hint="default"/>
        <w:lang w:val="nn-NO" w:eastAsia="en-US" w:bidi="ar-SA"/>
      </w:rPr>
    </w:lvl>
    <w:lvl w:ilvl="5" w:tplc="4922193A">
      <w:numFmt w:val="bullet"/>
      <w:lvlText w:val="•"/>
      <w:lvlJc w:val="left"/>
      <w:pPr>
        <w:ind w:left="4800" w:hanging="360"/>
      </w:pPr>
      <w:rPr>
        <w:rFonts w:hint="default"/>
        <w:lang w:val="nn-NO" w:eastAsia="en-US" w:bidi="ar-SA"/>
      </w:rPr>
    </w:lvl>
    <w:lvl w:ilvl="6" w:tplc="38FA5214">
      <w:numFmt w:val="bullet"/>
      <w:lvlText w:val="•"/>
      <w:lvlJc w:val="left"/>
      <w:pPr>
        <w:ind w:left="5596" w:hanging="360"/>
      </w:pPr>
      <w:rPr>
        <w:rFonts w:hint="default"/>
        <w:lang w:val="nn-NO" w:eastAsia="en-US" w:bidi="ar-SA"/>
      </w:rPr>
    </w:lvl>
    <w:lvl w:ilvl="7" w:tplc="5BDA3B4A">
      <w:numFmt w:val="bullet"/>
      <w:lvlText w:val="•"/>
      <w:lvlJc w:val="left"/>
      <w:pPr>
        <w:ind w:left="6393" w:hanging="360"/>
      </w:pPr>
      <w:rPr>
        <w:rFonts w:hint="default"/>
        <w:lang w:val="nn-NO" w:eastAsia="en-US" w:bidi="ar-SA"/>
      </w:rPr>
    </w:lvl>
    <w:lvl w:ilvl="8" w:tplc="0FDAA2B4">
      <w:numFmt w:val="bullet"/>
      <w:lvlText w:val="•"/>
      <w:lvlJc w:val="left"/>
      <w:pPr>
        <w:ind w:left="7189" w:hanging="360"/>
      </w:pPr>
      <w:rPr>
        <w:rFonts w:hint="default"/>
        <w:lang w:val="nn-NO" w:eastAsia="en-US" w:bidi="ar-SA"/>
      </w:rPr>
    </w:lvl>
  </w:abstractNum>
  <w:abstractNum w:abstractNumId="6" w15:restartNumberingAfterBreak="0">
    <w:nsid w:val="1F687FA8"/>
    <w:multiLevelType w:val="hybridMultilevel"/>
    <w:tmpl w:val="A8321712"/>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7" w15:restartNumberingAfterBreak="0">
    <w:nsid w:val="22DF76EF"/>
    <w:multiLevelType w:val="multilevel"/>
    <w:tmpl w:val="039E2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467A44"/>
    <w:multiLevelType w:val="multilevel"/>
    <w:tmpl w:val="CE7AC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B876DB"/>
    <w:multiLevelType w:val="hybridMultilevel"/>
    <w:tmpl w:val="F6E8D38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3EB1561E"/>
    <w:multiLevelType w:val="multilevel"/>
    <w:tmpl w:val="2B5E2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3A0948"/>
    <w:multiLevelType w:val="multilevel"/>
    <w:tmpl w:val="5C14C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362CAC"/>
    <w:multiLevelType w:val="multilevel"/>
    <w:tmpl w:val="0B7A8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306C31"/>
    <w:multiLevelType w:val="hybridMultilevel"/>
    <w:tmpl w:val="D0167AA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615663EF"/>
    <w:multiLevelType w:val="multilevel"/>
    <w:tmpl w:val="0EF2D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338376D"/>
    <w:multiLevelType w:val="multilevel"/>
    <w:tmpl w:val="3894E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A13201B"/>
    <w:multiLevelType w:val="hybridMultilevel"/>
    <w:tmpl w:val="9690838A"/>
    <w:lvl w:ilvl="0" w:tplc="F42AA5D0">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15:restartNumberingAfterBreak="0">
    <w:nsid w:val="71495B15"/>
    <w:multiLevelType w:val="multilevel"/>
    <w:tmpl w:val="175A5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2BB3B9B"/>
    <w:multiLevelType w:val="hybridMultilevel"/>
    <w:tmpl w:val="C22816C2"/>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9" w15:restartNumberingAfterBreak="0">
    <w:nsid w:val="73183C07"/>
    <w:multiLevelType w:val="multilevel"/>
    <w:tmpl w:val="1A766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3047999">
    <w:abstractNumId w:val="0"/>
  </w:num>
  <w:num w:numId="2" w16cid:durableId="1610232246">
    <w:abstractNumId w:val="5"/>
  </w:num>
  <w:num w:numId="3" w16cid:durableId="275720288">
    <w:abstractNumId w:val="4"/>
  </w:num>
  <w:num w:numId="4" w16cid:durableId="1847204567">
    <w:abstractNumId w:val="3"/>
  </w:num>
  <w:num w:numId="5" w16cid:durableId="1372682493">
    <w:abstractNumId w:val="14"/>
  </w:num>
  <w:num w:numId="6" w16cid:durableId="993723486">
    <w:abstractNumId w:val="2"/>
  </w:num>
  <w:num w:numId="7" w16cid:durableId="1376202727">
    <w:abstractNumId w:val="18"/>
  </w:num>
  <w:num w:numId="8" w16cid:durableId="1403286286">
    <w:abstractNumId w:val="6"/>
  </w:num>
  <w:num w:numId="9" w16cid:durableId="1049184944">
    <w:abstractNumId w:val="16"/>
  </w:num>
  <w:num w:numId="10" w16cid:durableId="946961946">
    <w:abstractNumId w:val="19"/>
  </w:num>
  <w:num w:numId="11" w16cid:durableId="1154032037">
    <w:abstractNumId w:val="1"/>
  </w:num>
  <w:num w:numId="12" w16cid:durableId="765422757">
    <w:abstractNumId w:val="13"/>
  </w:num>
  <w:num w:numId="13" w16cid:durableId="1479229848">
    <w:abstractNumId w:val="9"/>
  </w:num>
  <w:num w:numId="14" w16cid:durableId="1728992106">
    <w:abstractNumId w:val="12"/>
  </w:num>
  <w:num w:numId="15" w16cid:durableId="2050253637">
    <w:abstractNumId w:val="7"/>
  </w:num>
  <w:num w:numId="16" w16cid:durableId="299851200">
    <w:abstractNumId w:val="8"/>
  </w:num>
  <w:num w:numId="17" w16cid:durableId="552733875">
    <w:abstractNumId w:val="15"/>
  </w:num>
  <w:num w:numId="18" w16cid:durableId="813647128">
    <w:abstractNumId w:val="17"/>
  </w:num>
  <w:num w:numId="19" w16cid:durableId="1024668262">
    <w:abstractNumId w:val="10"/>
  </w:num>
  <w:num w:numId="20" w16cid:durableId="12211337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48D"/>
    <w:rsid w:val="000239F6"/>
    <w:rsid w:val="00026375"/>
    <w:rsid w:val="00026AD9"/>
    <w:rsid w:val="00036B62"/>
    <w:rsid w:val="000538C7"/>
    <w:rsid w:val="000631ED"/>
    <w:rsid w:val="00067979"/>
    <w:rsid w:val="0007501C"/>
    <w:rsid w:val="00076194"/>
    <w:rsid w:val="000832AD"/>
    <w:rsid w:val="00090709"/>
    <w:rsid w:val="000D3C63"/>
    <w:rsid w:val="00130F67"/>
    <w:rsid w:val="0013184E"/>
    <w:rsid w:val="00136AC5"/>
    <w:rsid w:val="00145620"/>
    <w:rsid w:val="00161CA2"/>
    <w:rsid w:val="00166CBB"/>
    <w:rsid w:val="0017618E"/>
    <w:rsid w:val="00176F4A"/>
    <w:rsid w:val="00195E2C"/>
    <w:rsid w:val="001B4490"/>
    <w:rsid w:val="00223A8C"/>
    <w:rsid w:val="00243F42"/>
    <w:rsid w:val="00251F35"/>
    <w:rsid w:val="002741A0"/>
    <w:rsid w:val="002860C0"/>
    <w:rsid w:val="002B36F5"/>
    <w:rsid w:val="002F7B78"/>
    <w:rsid w:val="00300D71"/>
    <w:rsid w:val="00310D8C"/>
    <w:rsid w:val="00312ED6"/>
    <w:rsid w:val="003267B3"/>
    <w:rsid w:val="00332C02"/>
    <w:rsid w:val="00374975"/>
    <w:rsid w:val="00383A26"/>
    <w:rsid w:val="00395785"/>
    <w:rsid w:val="003A69CB"/>
    <w:rsid w:val="003B6603"/>
    <w:rsid w:val="003C12FE"/>
    <w:rsid w:val="00410C9D"/>
    <w:rsid w:val="004150AE"/>
    <w:rsid w:val="004327B8"/>
    <w:rsid w:val="00434745"/>
    <w:rsid w:val="00434800"/>
    <w:rsid w:val="0044434B"/>
    <w:rsid w:val="00470B28"/>
    <w:rsid w:val="004852C5"/>
    <w:rsid w:val="00496226"/>
    <w:rsid w:val="004A6D41"/>
    <w:rsid w:val="004B7600"/>
    <w:rsid w:val="004F4D32"/>
    <w:rsid w:val="005167DC"/>
    <w:rsid w:val="00520A8A"/>
    <w:rsid w:val="00530C59"/>
    <w:rsid w:val="0053281E"/>
    <w:rsid w:val="00556DA7"/>
    <w:rsid w:val="005876E3"/>
    <w:rsid w:val="00593329"/>
    <w:rsid w:val="005E6187"/>
    <w:rsid w:val="006154BF"/>
    <w:rsid w:val="00616D55"/>
    <w:rsid w:val="00616E49"/>
    <w:rsid w:val="0063399B"/>
    <w:rsid w:val="0063435B"/>
    <w:rsid w:val="00643474"/>
    <w:rsid w:val="0065357F"/>
    <w:rsid w:val="006900B1"/>
    <w:rsid w:val="00693709"/>
    <w:rsid w:val="006E3068"/>
    <w:rsid w:val="00710F2C"/>
    <w:rsid w:val="0071180B"/>
    <w:rsid w:val="00737CE0"/>
    <w:rsid w:val="007C0574"/>
    <w:rsid w:val="007E2EBD"/>
    <w:rsid w:val="007F02E7"/>
    <w:rsid w:val="007F5063"/>
    <w:rsid w:val="00814040"/>
    <w:rsid w:val="00834E41"/>
    <w:rsid w:val="00844927"/>
    <w:rsid w:val="00846C2F"/>
    <w:rsid w:val="008479E5"/>
    <w:rsid w:val="00865CC9"/>
    <w:rsid w:val="008963E7"/>
    <w:rsid w:val="00896BE5"/>
    <w:rsid w:val="008A6FDA"/>
    <w:rsid w:val="008D0EF6"/>
    <w:rsid w:val="009023C9"/>
    <w:rsid w:val="00935291"/>
    <w:rsid w:val="00966919"/>
    <w:rsid w:val="0097571C"/>
    <w:rsid w:val="009770C2"/>
    <w:rsid w:val="0098684F"/>
    <w:rsid w:val="009C58E0"/>
    <w:rsid w:val="009D29F6"/>
    <w:rsid w:val="00A00D52"/>
    <w:rsid w:val="00A03B0E"/>
    <w:rsid w:val="00A2456E"/>
    <w:rsid w:val="00A2728D"/>
    <w:rsid w:val="00A46461"/>
    <w:rsid w:val="00A5251F"/>
    <w:rsid w:val="00A624BD"/>
    <w:rsid w:val="00A715CA"/>
    <w:rsid w:val="00A723B4"/>
    <w:rsid w:val="00A75077"/>
    <w:rsid w:val="00A82BDC"/>
    <w:rsid w:val="00A84EF5"/>
    <w:rsid w:val="00A87701"/>
    <w:rsid w:val="00A87F8A"/>
    <w:rsid w:val="00AA4CFD"/>
    <w:rsid w:val="00AC304D"/>
    <w:rsid w:val="00B071BA"/>
    <w:rsid w:val="00B23FF5"/>
    <w:rsid w:val="00B513CA"/>
    <w:rsid w:val="00B6007B"/>
    <w:rsid w:val="00B77420"/>
    <w:rsid w:val="00BD3CF6"/>
    <w:rsid w:val="00BF251F"/>
    <w:rsid w:val="00C0448D"/>
    <w:rsid w:val="00C31146"/>
    <w:rsid w:val="00C478E7"/>
    <w:rsid w:val="00C67263"/>
    <w:rsid w:val="00C71685"/>
    <w:rsid w:val="00C82A3C"/>
    <w:rsid w:val="00CA001C"/>
    <w:rsid w:val="00CF7E0E"/>
    <w:rsid w:val="00D11534"/>
    <w:rsid w:val="00D1291E"/>
    <w:rsid w:val="00D3061B"/>
    <w:rsid w:val="00D34477"/>
    <w:rsid w:val="00D45A55"/>
    <w:rsid w:val="00DD4D89"/>
    <w:rsid w:val="00DE2199"/>
    <w:rsid w:val="00DE3C64"/>
    <w:rsid w:val="00E22229"/>
    <w:rsid w:val="00E419C5"/>
    <w:rsid w:val="00E46A1A"/>
    <w:rsid w:val="00E93108"/>
    <w:rsid w:val="00EC0A1F"/>
    <w:rsid w:val="00EC7BAA"/>
    <w:rsid w:val="00EF03AE"/>
    <w:rsid w:val="00EF4D80"/>
    <w:rsid w:val="00F03663"/>
    <w:rsid w:val="00F03FFC"/>
    <w:rsid w:val="00F3061A"/>
    <w:rsid w:val="00F33FC1"/>
    <w:rsid w:val="00F36FBE"/>
    <w:rsid w:val="00F868F4"/>
    <w:rsid w:val="00F93C68"/>
    <w:rsid w:val="00FC0E8F"/>
    <w:rsid w:val="00FD245E"/>
    <w:rsid w:val="00FD4E2C"/>
    <w:rsid w:val="00FD6F57"/>
    <w:rsid w:val="00FE579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DEE4E"/>
  <w15:docId w15:val="{5F1DC7C6-81C4-4C4B-B535-1BA86218D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lang w:val="en-GB"/>
    </w:rPr>
  </w:style>
  <w:style w:type="paragraph" w:styleId="Overskrift1">
    <w:name w:val="heading 1"/>
    <w:basedOn w:val="Normal"/>
    <w:uiPriority w:val="9"/>
    <w:qFormat/>
    <w:pPr>
      <w:ind w:left="1075"/>
      <w:outlineLvl w:val="0"/>
    </w:pPr>
    <w:rPr>
      <w:rFonts w:ascii="Arial" w:eastAsia="Arial" w:hAnsi="Arial" w:cs="Arial"/>
      <w:b/>
      <w:bCs/>
      <w:sz w:val="96"/>
      <w:szCs w:val="96"/>
    </w:rPr>
  </w:style>
  <w:style w:type="paragraph" w:styleId="Overskrift2">
    <w:name w:val="heading 2"/>
    <w:basedOn w:val="Normal"/>
    <w:uiPriority w:val="9"/>
    <w:unhideWhenUsed/>
    <w:qFormat/>
    <w:pPr>
      <w:spacing w:line="305" w:lineRule="exact"/>
      <w:outlineLvl w:val="1"/>
    </w:pPr>
    <w:rPr>
      <w:b/>
      <w:bCs/>
      <w:sz w:val="26"/>
      <w:szCs w:val="26"/>
    </w:rPr>
  </w:style>
  <w:style w:type="paragraph" w:styleId="Overskrift3">
    <w:name w:val="heading 3"/>
    <w:basedOn w:val="Normal"/>
    <w:uiPriority w:val="9"/>
    <w:unhideWhenUsed/>
    <w:qFormat/>
    <w:pPr>
      <w:spacing w:before="76"/>
      <w:ind w:left="366" w:hanging="366"/>
      <w:outlineLvl w:val="2"/>
    </w:pPr>
    <w:rPr>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rdtekst">
    <w:name w:val="Body Text"/>
    <w:basedOn w:val="Normal"/>
    <w:uiPriority w:val="1"/>
    <w:qFormat/>
  </w:style>
  <w:style w:type="paragraph" w:styleId="Listeavsnitt">
    <w:name w:val="List Paragraph"/>
    <w:basedOn w:val="Normal"/>
    <w:uiPriority w:val="1"/>
    <w:qFormat/>
    <w:pPr>
      <w:spacing w:before="76"/>
      <w:ind w:left="366" w:hanging="366"/>
    </w:pPr>
  </w:style>
  <w:style w:type="paragraph" w:customStyle="1" w:styleId="TableParagraph">
    <w:name w:val="Table Paragraph"/>
    <w:basedOn w:val="Normal"/>
    <w:uiPriority w:val="1"/>
    <w:qFormat/>
  </w:style>
  <w:style w:type="character" w:styleId="Hyperkobling">
    <w:name w:val="Hyperlink"/>
    <w:basedOn w:val="Standardskriftforavsnitt"/>
    <w:uiPriority w:val="99"/>
    <w:unhideWhenUsed/>
    <w:rsid w:val="0044434B"/>
    <w:rPr>
      <w:color w:val="0000FF" w:themeColor="hyperlink"/>
      <w:u w:val="single"/>
    </w:rPr>
  </w:style>
  <w:style w:type="character" w:styleId="Ulstomtale">
    <w:name w:val="Unresolved Mention"/>
    <w:basedOn w:val="Standardskriftforavsnitt"/>
    <w:uiPriority w:val="99"/>
    <w:semiHidden/>
    <w:unhideWhenUsed/>
    <w:rsid w:val="0044434B"/>
    <w:rPr>
      <w:color w:val="605E5C"/>
      <w:shd w:val="clear" w:color="auto" w:fill="E1DFDD"/>
    </w:rPr>
  </w:style>
  <w:style w:type="paragraph" w:styleId="Revisjon">
    <w:name w:val="Revision"/>
    <w:hidden/>
    <w:uiPriority w:val="99"/>
    <w:semiHidden/>
    <w:rsid w:val="00243F42"/>
    <w:pPr>
      <w:widowControl/>
      <w:autoSpaceDE/>
      <w:autoSpaceDN/>
    </w:pPr>
    <w:rPr>
      <w:rFonts w:ascii="Cambria" w:eastAsia="Cambria" w:hAnsi="Cambria" w:cs="Cambria"/>
      <w:lang w:val="nn-NO"/>
    </w:rPr>
  </w:style>
  <w:style w:type="character" w:styleId="Merknadsreferanse">
    <w:name w:val="annotation reference"/>
    <w:basedOn w:val="Standardskriftforavsnitt"/>
    <w:uiPriority w:val="99"/>
    <w:semiHidden/>
    <w:unhideWhenUsed/>
    <w:rsid w:val="005876E3"/>
    <w:rPr>
      <w:sz w:val="16"/>
      <w:szCs w:val="16"/>
    </w:rPr>
  </w:style>
  <w:style w:type="paragraph" w:styleId="Merknadstekst">
    <w:name w:val="annotation text"/>
    <w:basedOn w:val="Normal"/>
    <w:link w:val="MerknadstekstTegn"/>
    <w:uiPriority w:val="99"/>
    <w:unhideWhenUsed/>
    <w:rsid w:val="005876E3"/>
    <w:rPr>
      <w:sz w:val="20"/>
      <w:szCs w:val="20"/>
    </w:rPr>
  </w:style>
  <w:style w:type="character" w:customStyle="1" w:styleId="MerknadstekstTegn">
    <w:name w:val="Merknadstekst Tegn"/>
    <w:basedOn w:val="Standardskriftforavsnitt"/>
    <w:link w:val="Merknadstekst"/>
    <w:uiPriority w:val="99"/>
    <w:rsid w:val="005876E3"/>
    <w:rPr>
      <w:rFonts w:ascii="Cambria" w:eastAsia="Cambria" w:hAnsi="Cambria" w:cs="Cambria"/>
      <w:sz w:val="20"/>
      <w:szCs w:val="20"/>
      <w:lang w:val="nn-NO"/>
    </w:rPr>
  </w:style>
  <w:style w:type="paragraph" w:styleId="Kommentaremne">
    <w:name w:val="annotation subject"/>
    <w:basedOn w:val="Merknadstekst"/>
    <w:next w:val="Merknadstekst"/>
    <w:link w:val="KommentaremneTegn"/>
    <w:uiPriority w:val="99"/>
    <w:semiHidden/>
    <w:unhideWhenUsed/>
    <w:rsid w:val="005876E3"/>
    <w:rPr>
      <w:b/>
      <w:bCs/>
    </w:rPr>
  </w:style>
  <w:style w:type="character" w:customStyle="1" w:styleId="KommentaremneTegn">
    <w:name w:val="Kommentaremne Tegn"/>
    <w:basedOn w:val="MerknadstekstTegn"/>
    <w:link w:val="Kommentaremne"/>
    <w:uiPriority w:val="99"/>
    <w:semiHidden/>
    <w:rsid w:val="005876E3"/>
    <w:rPr>
      <w:rFonts w:ascii="Cambria" w:eastAsia="Cambria" w:hAnsi="Cambria" w:cs="Cambria"/>
      <w:b/>
      <w:bCs/>
      <w:sz w:val="20"/>
      <w:szCs w:val="20"/>
      <w:lang w:val="nn-NO"/>
    </w:rPr>
  </w:style>
  <w:style w:type="character" w:styleId="Fulgthyperkobling">
    <w:name w:val="FollowedHyperlink"/>
    <w:basedOn w:val="Standardskriftforavsnitt"/>
    <w:uiPriority w:val="99"/>
    <w:semiHidden/>
    <w:unhideWhenUsed/>
    <w:rsid w:val="001B449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hvl.no/siteassets/hvl-internett/dokument/p.hd/phd-dokumenter-engelsk/guidelines-for-the-assessment-of-doctoral-degrees.pd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hvl.no/contentassets/10cd1ea4faa14385a5a453410360c97b/admission-requirements---supplementary-guidelines-hfd.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vdata.no/SFE/forskrift/2024-06-24-1859/&#167;4-10"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nokut.no/en/norwegian-education/the-norwegian-qualifications-framework-for-lifelong-learning/" TargetMode="External"/><Relationship Id="rId4" Type="http://schemas.openxmlformats.org/officeDocument/2006/relationships/webSettings" Target="webSettings.xml"/><Relationship Id="rId9" Type="http://schemas.openxmlformats.org/officeDocument/2006/relationships/hyperlink" Target="https://lovdata.no/dokument/SFE/forskrift/2024-06-24-1859"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1152</Words>
  <Characters>6110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Microsoft Word - Veiledning_bedommelse_doktorgrader_Styret_13-06-2012.docx</vt:lpstr>
    </vt:vector>
  </TitlesOfParts>
  <Company>NTNU</Company>
  <LinksUpToDate>false</LinksUpToDate>
  <CharactersWithSpaces>7248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Veiledning_bedommelse_doktorgrader_Styret_13-06-2012.docx</dc:title>
  <dc:creator>dagfinnr</dc:creator>
  <cp:lastModifiedBy>Anne Dall-Larsen Bjørndal</cp:lastModifiedBy>
  <cp:revision>49</cp:revision>
  <dcterms:created xsi:type="dcterms:W3CDTF">2026-04-22T12:52:00Z</dcterms:created>
  <dcterms:modified xsi:type="dcterms:W3CDTF">2026-04-23T13:57:00Z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2022-11-22T00:00:00Z</vt:filetime>
  </property>
  <property fmtid="{D5CDD505-2E9C-101B-9397-08002B2CF9AE}" pid="3" name="Creator">
    <vt:lpwstr>Acrobat PDFMaker 15 for Word</vt:lpwstr>
  </property>
  <property fmtid="{D5CDD505-2E9C-101B-9397-08002B2CF9AE}" pid="4" name="LastSaved">
    <vt:filetime>2026-02-12T00:00:00Z</vt:filetime>
  </property>
  <property fmtid="{D5CDD505-2E9C-101B-9397-08002B2CF9AE}" pid="5" name="Producer">
    <vt:lpwstr>Adobe PDF Library 15.0</vt:lpwstr>
  </property>
  <property fmtid="{D5CDD505-2E9C-101B-9397-08002B2CF9AE}" pid="6" name="SourceModified">
    <vt:lpwstr>D:20221122123229</vt:lpwstr>
  </property>
</Properties>
</file>